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16" w:type="dxa"/>
        <w:tblInd w:w="-459" w:type="dxa"/>
        <w:tblLook w:val="04A0" w:firstRow="1" w:lastRow="0" w:firstColumn="1" w:lastColumn="0" w:noHBand="0" w:noVBand="1"/>
      </w:tblPr>
      <w:tblGrid>
        <w:gridCol w:w="10316"/>
      </w:tblGrid>
      <w:tr w:rsidR="006A34CA" w:rsidRPr="00C23493" w14:paraId="79DD1AC1" w14:textId="77777777" w:rsidTr="00F45A66">
        <w:tc>
          <w:tcPr>
            <w:tcW w:w="10316" w:type="dxa"/>
            <w:shd w:val="clear" w:color="auto" w:fill="DBE5F1" w:themeFill="accent1" w:themeFillTint="33"/>
          </w:tcPr>
          <w:p w14:paraId="63FCF202" w14:textId="77777777" w:rsidR="006A34CA" w:rsidRPr="00C23493" w:rsidRDefault="00657913" w:rsidP="006A34CA">
            <w:pPr>
              <w:jc w:val="center"/>
              <w:rPr>
                <w:b/>
              </w:rPr>
            </w:pPr>
            <w:r>
              <w:rPr>
                <w:b/>
              </w:rPr>
              <w:t xml:space="preserve">TEZSİZ </w:t>
            </w:r>
            <w:r w:rsidR="006A34CA" w:rsidRPr="00C23493">
              <w:rPr>
                <w:b/>
              </w:rPr>
              <w:t>YÜKSEK LİSANS</w:t>
            </w:r>
            <w:r w:rsidR="002038FC">
              <w:rPr>
                <w:b/>
              </w:rPr>
              <w:t xml:space="preserve"> PROGRAMI</w:t>
            </w:r>
          </w:p>
        </w:tc>
      </w:tr>
      <w:tr w:rsidR="006A34CA" w:rsidRPr="00C23493" w14:paraId="0038DD01" w14:textId="77777777" w:rsidTr="00F45A66">
        <w:tc>
          <w:tcPr>
            <w:tcW w:w="10316" w:type="dxa"/>
            <w:shd w:val="clear" w:color="auto" w:fill="DBE5F1" w:themeFill="accent1" w:themeFillTint="33"/>
          </w:tcPr>
          <w:p w14:paraId="32584AC3" w14:textId="77777777" w:rsidR="006A34CA" w:rsidRPr="00C23493" w:rsidRDefault="00657913" w:rsidP="002038FC">
            <w:pPr>
              <w:jc w:val="both"/>
            </w:pPr>
            <w:r>
              <w:t xml:space="preserve">Tezsiz yüksek lisans programı; </w:t>
            </w:r>
            <w:r w:rsidRPr="002038FC">
              <w:rPr>
                <w:b/>
              </w:rPr>
              <w:t>90 AKTS krediden az olmamak koşuluyla</w:t>
            </w:r>
            <w:r>
              <w:t>, EABD</w:t>
            </w:r>
            <w:r w:rsidR="002038FC">
              <w:t xml:space="preserve"> </w:t>
            </w:r>
            <w:r>
              <w:t xml:space="preserve">başkanlığının öngördüğü </w:t>
            </w:r>
            <w:r w:rsidRPr="002038FC">
              <w:rPr>
                <w:b/>
              </w:rPr>
              <w:t>zorunlu ve seçimlik</w:t>
            </w:r>
            <w:r>
              <w:t xml:space="preserve"> </w:t>
            </w:r>
            <w:r w:rsidRPr="002038FC">
              <w:rPr>
                <w:b/>
                <w:color w:val="FF0000"/>
                <w:sz w:val="24"/>
                <w:szCs w:val="24"/>
              </w:rPr>
              <w:t>en az on</w:t>
            </w:r>
            <w:r w:rsidR="002038FC" w:rsidRPr="002038FC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2038FC">
              <w:rPr>
                <w:b/>
                <w:color w:val="FF0000"/>
                <w:sz w:val="24"/>
                <w:szCs w:val="24"/>
              </w:rPr>
              <w:t xml:space="preserve">bir </w:t>
            </w:r>
            <w:r w:rsidR="002038FC" w:rsidRPr="002038FC">
              <w:rPr>
                <w:b/>
                <w:color w:val="FF0000"/>
                <w:sz w:val="24"/>
                <w:szCs w:val="24"/>
              </w:rPr>
              <w:t xml:space="preserve">(11) </w:t>
            </w:r>
            <w:r w:rsidRPr="002038FC">
              <w:rPr>
                <w:b/>
                <w:color w:val="FF0000"/>
                <w:sz w:val="24"/>
                <w:szCs w:val="24"/>
              </w:rPr>
              <w:t>ders ile proje dersinden</w:t>
            </w:r>
            <w:r w:rsidRPr="00657913">
              <w:rPr>
                <w:color w:val="FF0000"/>
              </w:rPr>
              <w:t xml:space="preserve"> </w:t>
            </w:r>
            <w:r>
              <w:t xml:space="preserve">oluşur.  </w:t>
            </w:r>
            <w:r w:rsidR="006A34CA" w:rsidRPr="00C23493">
              <w:t xml:space="preserve"> </w:t>
            </w:r>
          </w:p>
        </w:tc>
      </w:tr>
      <w:tr w:rsidR="0067655C" w:rsidRPr="00C23493" w14:paraId="64186A0B" w14:textId="77777777" w:rsidTr="00F45A66">
        <w:tc>
          <w:tcPr>
            <w:tcW w:w="10316" w:type="dxa"/>
            <w:shd w:val="clear" w:color="auto" w:fill="DBE5F1" w:themeFill="accent1" w:themeFillTint="33"/>
          </w:tcPr>
          <w:p w14:paraId="208331C1" w14:textId="77777777" w:rsidR="0067655C" w:rsidRPr="00C23493" w:rsidRDefault="0067655C" w:rsidP="002A0ED2">
            <w:pPr>
              <w:jc w:val="both"/>
            </w:pPr>
            <w:r w:rsidRPr="0067655C">
              <w:rPr>
                <w:b/>
              </w:rPr>
              <w:t>İkinci öğretim ve uzaktan eğitim tezsiz yüksek lisans programlarına kayıtlı öğrenciler</w:t>
            </w:r>
            <w:r w:rsidRPr="0067655C">
              <w:t xml:space="preserve"> </w:t>
            </w:r>
            <w:r w:rsidRPr="0067655C">
              <w:rPr>
                <w:b/>
                <w:color w:val="FF0000"/>
                <w:sz w:val="25"/>
                <w:szCs w:val="25"/>
              </w:rPr>
              <w:t>farklı tezsiz yüksek lisans programlarından en fazla 3 ders alabilir.</w:t>
            </w:r>
            <w:r w:rsidRPr="0067655C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67655C">
              <w:t>Zorunlu durumlarda alınabilecek ders sayısı EYK ile arttırılır.</w:t>
            </w:r>
          </w:p>
        </w:tc>
      </w:tr>
      <w:tr w:rsidR="005E6B24" w:rsidRPr="00C23493" w14:paraId="49A42152" w14:textId="77777777" w:rsidTr="00F45A66">
        <w:tc>
          <w:tcPr>
            <w:tcW w:w="10316" w:type="dxa"/>
            <w:shd w:val="clear" w:color="auto" w:fill="DBE5F1" w:themeFill="accent1" w:themeFillTint="33"/>
          </w:tcPr>
          <w:p w14:paraId="17A90150" w14:textId="77777777" w:rsidR="005E6B24" w:rsidRPr="00C23493" w:rsidRDefault="005E6B24" w:rsidP="002A0ED2">
            <w:pPr>
              <w:jc w:val="both"/>
            </w:pPr>
            <w:r w:rsidRPr="00C23493">
              <w:t xml:space="preserve">Kayıt yenilemeyen öğrenci </w:t>
            </w:r>
            <w:r w:rsidRPr="00C23493">
              <w:rPr>
                <w:b/>
              </w:rPr>
              <w:t>kayıt yenilemediği dönemde öğrencilik haklarından yararlanamaz</w:t>
            </w:r>
            <w:r w:rsidRPr="00C23493">
              <w:t xml:space="preserve"> ve </w:t>
            </w:r>
            <w:r w:rsidRPr="00C23493">
              <w:rPr>
                <w:b/>
                <w:color w:val="FF0000"/>
              </w:rPr>
              <w:t>kayıt yenilemediği dönem öğrenim süresinden sayılır.</w:t>
            </w:r>
          </w:p>
        </w:tc>
      </w:tr>
      <w:tr w:rsidR="002A0ED2" w:rsidRPr="00C23493" w14:paraId="4A35435C" w14:textId="77777777" w:rsidTr="00F45A66">
        <w:tc>
          <w:tcPr>
            <w:tcW w:w="10316" w:type="dxa"/>
            <w:shd w:val="clear" w:color="auto" w:fill="DBE5F1" w:themeFill="accent1" w:themeFillTint="33"/>
          </w:tcPr>
          <w:p w14:paraId="389F16AA" w14:textId="77777777" w:rsidR="002A0ED2" w:rsidRPr="00C23493" w:rsidRDefault="002A0ED2" w:rsidP="00547C43">
            <w:pPr>
              <w:jc w:val="both"/>
            </w:pPr>
            <w:r w:rsidRPr="00C23493">
              <w:t xml:space="preserve">Öğrencilerin lisansüstü programa ilk kayıt yaptırdığı tarihten itibaren </w:t>
            </w:r>
            <w:r w:rsidRPr="00C23493">
              <w:rPr>
                <w:b/>
                <w:color w:val="FF0000"/>
              </w:rPr>
              <w:t>kayıt yenileyip yenilemediğine bakılmaksızın geçirdiği tüm yarıyıllar azami öğrenim süresine sayılır.</w:t>
            </w:r>
          </w:p>
        </w:tc>
      </w:tr>
      <w:tr w:rsidR="00DA3C95" w:rsidRPr="00C23493" w14:paraId="7CD3FBC6" w14:textId="77777777" w:rsidTr="00F45A66">
        <w:tc>
          <w:tcPr>
            <w:tcW w:w="10316" w:type="dxa"/>
            <w:shd w:val="clear" w:color="auto" w:fill="DBE5F1" w:themeFill="accent1" w:themeFillTint="33"/>
          </w:tcPr>
          <w:p w14:paraId="786604D3" w14:textId="77777777" w:rsidR="00DA3C95" w:rsidRPr="00C23493" w:rsidRDefault="002038FC" w:rsidP="00547C43">
            <w:pPr>
              <w:jc w:val="both"/>
            </w:pPr>
            <w:r>
              <w:t xml:space="preserve">Tezsiz yüksek lisans programını tamamlama süresi, kayıt olduğu programa </w:t>
            </w:r>
            <w:r w:rsidRPr="002038FC">
              <w:rPr>
                <w:b/>
              </w:rPr>
              <w:t>ilişkin derslerin verildiği dönemden başlamak üzere, her dönem için kayıt yaptırıp yaptırmadığına bakılmaksızın</w:t>
            </w:r>
            <w:r>
              <w:t xml:space="preserve"> </w:t>
            </w:r>
            <w:r w:rsidRPr="004E2EEE">
              <w:rPr>
                <w:b/>
                <w:color w:val="FF0000"/>
                <w:sz w:val="24"/>
                <w:szCs w:val="24"/>
              </w:rPr>
              <w:t>en az iki yarıyıl, en çok üç yarıyıldır.</w:t>
            </w:r>
          </w:p>
        </w:tc>
      </w:tr>
      <w:tr w:rsidR="002038FC" w:rsidRPr="00C23493" w14:paraId="15F38373" w14:textId="77777777" w:rsidTr="00F45A66">
        <w:tc>
          <w:tcPr>
            <w:tcW w:w="10316" w:type="dxa"/>
            <w:shd w:val="clear" w:color="auto" w:fill="DBE5F1" w:themeFill="accent1" w:themeFillTint="33"/>
          </w:tcPr>
          <w:p w14:paraId="6B6ED523" w14:textId="77777777" w:rsidR="002038FC" w:rsidRDefault="002038FC" w:rsidP="002038FC">
            <w:pPr>
              <w:jc w:val="both"/>
            </w:pPr>
            <w:r>
              <w:t xml:space="preserve">Azami süre sonunda mezuniyet not ortalaması </w:t>
            </w:r>
            <w:r w:rsidRPr="004E2EEE">
              <w:rPr>
                <w:b/>
                <w:color w:val="FF0000"/>
                <w:sz w:val="24"/>
                <w:szCs w:val="24"/>
              </w:rPr>
              <w:t>2,50’den</w:t>
            </w:r>
            <w:r w:rsidRPr="0098341A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2038FC">
              <w:rPr>
                <w:b/>
              </w:rPr>
              <w:t>az olan öğrencilerin</w:t>
            </w:r>
            <w:r>
              <w:t xml:space="preserve"> </w:t>
            </w:r>
            <w:r w:rsidRPr="002038FC">
              <w:rPr>
                <w:b/>
                <w:color w:val="FF0000"/>
              </w:rPr>
              <w:t xml:space="preserve">enstitü ile </w:t>
            </w:r>
            <w:r w:rsidR="006B4935">
              <w:rPr>
                <w:b/>
                <w:color w:val="FF0000"/>
              </w:rPr>
              <w:t>İLİŞİĞİ KESİLİR</w:t>
            </w:r>
            <w:r w:rsidR="006B4935" w:rsidRPr="00C23493">
              <w:rPr>
                <w:b/>
                <w:color w:val="FF0000"/>
              </w:rPr>
              <w:t>.</w:t>
            </w:r>
          </w:p>
        </w:tc>
      </w:tr>
      <w:tr w:rsidR="006A34CA" w:rsidRPr="00C23493" w14:paraId="26004CCE" w14:textId="77777777" w:rsidTr="00F45A66">
        <w:tc>
          <w:tcPr>
            <w:tcW w:w="10316" w:type="dxa"/>
            <w:shd w:val="clear" w:color="auto" w:fill="DBE5F1" w:themeFill="accent1" w:themeFillTint="33"/>
          </w:tcPr>
          <w:p w14:paraId="3A067D43" w14:textId="77777777" w:rsidR="006A34CA" w:rsidRPr="00C23493" w:rsidRDefault="002038FC" w:rsidP="008C05C0">
            <w:pPr>
              <w:jc w:val="both"/>
            </w:pPr>
            <w:r>
              <w:t xml:space="preserve">Azami süre sonunda </w:t>
            </w:r>
            <w:r w:rsidRPr="002038FC">
              <w:rPr>
                <w:b/>
              </w:rPr>
              <w:t>AKTS kredi yükünü tamamlayamayan</w:t>
            </w:r>
            <w:r>
              <w:t xml:space="preserve">, </w:t>
            </w:r>
            <w:r w:rsidRPr="002038FC">
              <w:rPr>
                <w:b/>
              </w:rPr>
              <w:t>başarısız dersi bulunan</w:t>
            </w:r>
            <w:r>
              <w:t xml:space="preserve"> ve </w:t>
            </w:r>
            <w:r w:rsidRPr="002038FC">
              <w:rPr>
                <w:b/>
              </w:rPr>
              <w:t>mezuniyet not ortalaması koşulunu sağlayamayan</w:t>
            </w:r>
            <w:r>
              <w:t xml:space="preserve"> </w:t>
            </w:r>
            <w:r w:rsidRPr="002038FC">
              <w:rPr>
                <w:b/>
                <w:color w:val="FF0000"/>
              </w:rPr>
              <w:t xml:space="preserve">öğrencinin enstitü ile </w:t>
            </w:r>
            <w:r w:rsidR="006B4935">
              <w:rPr>
                <w:b/>
                <w:color w:val="FF0000"/>
              </w:rPr>
              <w:t>İLİŞİĞİ KESİLİR</w:t>
            </w:r>
            <w:r w:rsidR="006B4935" w:rsidRPr="00C23493">
              <w:rPr>
                <w:b/>
                <w:color w:val="FF0000"/>
              </w:rPr>
              <w:t>.</w:t>
            </w:r>
          </w:p>
        </w:tc>
      </w:tr>
      <w:tr w:rsidR="002A0ED2" w:rsidRPr="00C23493" w14:paraId="38FE0A8A" w14:textId="77777777" w:rsidTr="00F45A66">
        <w:trPr>
          <w:trHeight w:val="366"/>
        </w:trPr>
        <w:tc>
          <w:tcPr>
            <w:tcW w:w="10316" w:type="dxa"/>
            <w:shd w:val="clear" w:color="auto" w:fill="DBE5F1" w:themeFill="accent1" w:themeFillTint="33"/>
          </w:tcPr>
          <w:p w14:paraId="748F5007" w14:textId="77777777" w:rsidR="002A0ED2" w:rsidRPr="00C23493" w:rsidRDefault="002038FC" w:rsidP="002038FC">
            <w:pPr>
              <w:jc w:val="both"/>
            </w:pPr>
            <w:r>
              <w:rPr>
                <w:b/>
              </w:rPr>
              <w:t xml:space="preserve">Tezsiz </w:t>
            </w:r>
            <w:r w:rsidR="002A0ED2" w:rsidRPr="00C23493">
              <w:rPr>
                <w:b/>
              </w:rPr>
              <w:t xml:space="preserve">Yüksek Lisans </w:t>
            </w:r>
            <w:r w:rsidR="002A0ED2" w:rsidRPr="00C23493">
              <w:t xml:space="preserve">programlarında </w:t>
            </w:r>
            <w:r w:rsidR="002A0ED2" w:rsidRPr="00C23493">
              <w:rPr>
                <w:b/>
              </w:rPr>
              <w:t>bir dersten başarılı sayılmak için</w:t>
            </w:r>
            <w:r w:rsidR="002A0ED2" w:rsidRPr="00C23493">
              <w:t xml:space="preserve"> o dersin </w:t>
            </w:r>
            <w:r w:rsidR="002A0ED2" w:rsidRPr="00C23493">
              <w:rPr>
                <w:b/>
              </w:rPr>
              <w:t xml:space="preserve">başarı notunun en az </w:t>
            </w:r>
            <w:r w:rsidR="002A0ED2" w:rsidRPr="005E2F09">
              <w:rPr>
                <w:b/>
                <w:color w:val="FF0000"/>
                <w:sz w:val="28"/>
                <w:szCs w:val="28"/>
              </w:rPr>
              <w:t>CC</w:t>
            </w:r>
            <w:r w:rsidR="002A0ED2" w:rsidRPr="00C23493">
              <w:t xml:space="preserve"> olması gerekir. </w:t>
            </w:r>
            <w:r>
              <w:t xml:space="preserve"> </w:t>
            </w:r>
          </w:p>
        </w:tc>
      </w:tr>
      <w:tr w:rsidR="002A0ED2" w:rsidRPr="00C23493" w14:paraId="7A0E30F6" w14:textId="77777777" w:rsidTr="00F45A66">
        <w:tc>
          <w:tcPr>
            <w:tcW w:w="10316" w:type="dxa"/>
            <w:shd w:val="clear" w:color="auto" w:fill="DBE5F1" w:themeFill="accent1" w:themeFillTint="33"/>
          </w:tcPr>
          <w:p w14:paraId="7D95E20E" w14:textId="77777777" w:rsidR="002A0ED2" w:rsidRPr="00C23493" w:rsidRDefault="002038FC" w:rsidP="002A0ED2">
            <w:pPr>
              <w:jc w:val="both"/>
            </w:pPr>
            <w:r>
              <w:t xml:space="preserve">Öğrenci proje dersine ait raporunu </w:t>
            </w:r>
            <w:r w:rsidRPr="002038FC">
              <w:rPr>
                <w:b/>
              </w:rPr>
              <w:t>akademik takvimde belirlenen tarihlerde</w:t>
            </w:r>
            <w:r>
              <w:t xml:space="preserve"> </w:t>
            </w:r>
            <w:r w:rsidRPr="002038FC">
              <w:rPr>
                <w:b/>
                <w:color w:val="FF0000"/>
              </w:rPr>
              <w:t>Sakarya Üniversitesi Bilgi Sistemi üzerinden yüklemek zorundadır.</w:t>
            </w:r>
          </w:p>
        </w:tc>
      </w:tr>
      <w:tr w:rsidR="006A34CA" w:rsidRPr="00C23493" w14:paraId="0287A172" w14:textId="77777777" w:rsidTr="00F45A66">
        <w:tc>
          <w:tcPr>
            <w:tcW w:w="10316" w:type="dxa"/>
            <w:shd w:val="clear" w:color="auto" w:fill="DBE5F1" w:themeFill="accent1" w:themeFillTint="33"/>
          </w:tcPr>
          <w:p w14:paraId="0D795391" w14:textId="77777777" w:rsidR="006A34CA" w:rsidRPr="00C23493" w:rsidRDefault="002038FC" w:rsidP="002038FC">
            <w:pPr>
              <w:jc w:val="both"/>
            </w:pPr>
            <w:r>
              <w:t xml:space="preserve">Danışman öğretim üyesi yüklenen proje raporunu </w:t>
            </w:r>
            <w:r w:rsidRPr="0098341A">
              <w:rPr>
                <w:b/>
                <w:color w:val="FF0000"/>
                <w:sz w:val="24"/>
                <w:szCs w:val="24"/>
              </w:rPr>
              <w:t xml:space="preserve">YT/YZ </w:t>
            </w:r>
            <w:r w:rsidRPr="002038FC">
              <w:rPr>
                <w:b/>
              </w:rPr>
              <w:t>olarak değerlendirir.</w:t>
            </w:r>
            <w:r>
              <w:t xml:space="preserve"> Proje dersi raporunu </w:t>
            </w:r>
            <w:r w:rsidRPr="002038FC">
              <w:rPr>
                <w:b/>
                <w:color w:val="FF0000"/>
              </w:rPr>
              <w:t>süresi içinde yüklemeyen öğrenci GR olarak değerlendirilir.</w:t>
            </w:r>
          </w:p>
        </w:tc>
      </w:tr>
      <w:tr w:rsidR="00247F58" w:rsidRPr="00C23493" w14:paraId="5E111E41" w14:textId="77777777" w:rsidTr="00F45A66">
        <w:tc>
          <w:tcPr>
            <w:tcW w:w="10316" w:type="dxa"/>
            <w:shd w:val="clear" w:color="auto" w:fill="DBE5F1" w:themeFill="accent1" w:themeFillTint="33"/>
          </w:tcPr>
          <w:p w14:paraId="5AB49DA8" w14:textId="243AC8F9" w:rsidR="00F9359E" w:rsidRPr="0098341A" w:rsidRDefault="00247F58" w:rsidP="00F9359E">
            <w:pPr>
              <w:jc w:val="both"/>
            </w:pPr>
            <w:r>
              <w:t xml:space="preserve">Mezuniyet şartını sağlayan öğrencilerimizin transkriptlerinde </w:t>
            </w:r>
            <w:r w:rsidR="005E2F09" w:rsidRPr="005E2F09">
              <w:rPr>
                <w:b/>
                <w:bCs/>
                <w:color w:val="FF0000"/>
              </w:rPr>
              <w:t>11</w:t>
            </w:r>
            <w:r>
              <w:t xml:space="preserve"> </w:t>
            </w:r>
            <w:r w:rsidRPr="005E2F09">
              <w:rPr>
                <w:b/>
                <w:bCs/>
                <w:color w:val="FF0000"/>
              </w:rPr>
              <w:t xml:space="preserve">başarılı </w:t>
            </w:r>
            <w:r w:rsidR="005E2F09">
              <w:rPr>
                <w:b/>
                <w:bCs/>
                <w:color w:val="FF0000"/>
              </w:rPr>
              <w:t>ders</w:t>
            </w:r>
            <w:r w:rsidR="00F9359E">
              <w:rPr>
                <w:b/>
                <w:bCs/>
                <w:color w:val="FF0000"/>
              </w:rPr>
              <w:t xml:space="preserve"> + proje</w:t>
            </w:r>
            <w:r w:rsidR="005E2F09">
              <w:rPr>
                <w:b/>
                <w:bCs/>
                <w:color w:val="FF0000"/>
              </w:rPr>
              <w:t xml:space="preserve"> dışında </w:t>
            </w:r>
            <w:r w:rsidRPr="005E2F09">
              <w:rPr>
                <w:b/>
                <w:bCs/>
                <w:color w:val="FF0000"/>
              </w:rPr>
              <w:t>fazla ders</w:t>
            </w:r>
            <w:r w:rsidR="005E2F09">
              <w:rPr>
                <w:b/>
                <w:bCs/>
                <w:color w:val="FF0000"/>
              </w:rPr>
              <w:t xml:space="preserve">in </w:t>
            </w:r>
            <w:r>
              <w:t>bulunması</w:t>
            </w:r>
            <w:r w:rsidR="00F9359E">
              <w:t xml:space="preserve"> durumunda </w:t>
            </w:r>
            <w:r w:rsidR="00F9359E" w:rsidRPr="00F9359E">
              <w:rPr>
                <w:b/>
                <w:bCs/>
              </w:rPr>
              <w:t>başarısız dersler</w:t>
            </w:r>
            <w:r w:rsidR="00F9359E">
              <w:t xml:space="preserve"> kontroller sonrasında </w:t>
            </w:r>
            <w:r w:rsidR="00F9359E" w:rsidRPr="00F9359E">
              <w:rPr>
                <w:b/>
                <w:bCs/>
              </w:rPr>
              <w:t>enstitü tarafından kaldırılmakta olup</w:t>
            </w:r>
            <w:r w:rsidR="00F9359E">
              <w:t xml:space="preserve">, </w:t>
            </w:r>
            <w:r w:rsidR="00F9359E" w:rsidRPr="00F9359E">
              <w:rPr>
                <w:b/>
                <w:bCs/>
                <w:color w:val="FF0000"/>
              </w:rPr>
              <w:t>başarılı</w:t>
            </w:r>
            <w:r w:rsidR="00F9359E">
              <w:t xml:space="preserve"> bulunan fazla ders talep edilmesi halinde dilekçe ile silinmektedir.</w:t>
            </w:r>
          </w:p>
        </w:tc>
      </w:tr>
      <w:tr w:rsidR="00DA3C95" w:rsidRPr="00C23493" w14:paraId="1B9B4992" w14:textId="77777777" w:rsidTr="00F45A66">
        <w:tc>
          <w:tcPr>
            <w:tcW w:w="10316" w:type="dxa"/>
            <w:shd w:val="clear" w:color="auto" w:fill="DBE5F1" w:themeFill="accent1" w:themeFillTint="33"/>
          </w:tcPr>
          <w:p w14:paraId="2151F023" w14:textId="39543406" w:rsidR="002901AD" w:rsidRPr="002901AD" w:rsidRDefault="002901AD" w:rsidP="002038FC">
            <w:pPr>
              <w:jc w:val="both"/>
              <w:rPr>
                <w:b/>
                <w:bCs/>
                <w:color w:val="FF0000"/>
              </w:rPr>
            </w:pPr>
            <w:r w:rsidRPr="002901AD">
              <w:rPr>
                <w:b/>
                <w:bCs/>
                <w:color w:val="FF0000"/>
              </w:rPr>
              <w:t>Mezuniyet Şartı:</w:t>
            </w:r>
          </w:p>
          <w:p w14:paraId="3767916B" w14:textId="42867B4A" w:rsidR="00F9359E" w:rsidRDefault="002901AD" w:rsidP="002038FC">
            <w:pPr>
              <w:jc w:val="both"/>
            </w:pPr>
            <w:r>
              <w:t>Anabilim dalı başkanlığının uygun gördüğü zorunlu ve seçimlik 11 ders ve projeden başarılı olmanın yanı sıra genel ağırlık not ortalamasının en az 2,50 olması gerekmektedir.</w:t>
            </w:r>
          </w:p>
          <w:p w14:paraId="284935A2" w14:textId="7153D036" w:rsidR="00F9359E" w:rsidRPr="00C23493" w:rsidRDefault="00F9359E" w:rsidP="002038FC">
            <w:pPr>
              <w:jc w:val="both"/>
            </w:pPr>
          </w:p>
        </w:tc>
      </w:tr>
    </w:tbl>
    <w:p w14:paraId="2F62159F" w14:textId="77777777" w:rsidR="005F7FA7" w:rsidRPr="00C23493" w:rsidRDefault="005F7FA7"/>
    <w:sectPr w:rsidR="005F7FA7" w:rsidRPr="00C23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93BB" w14:textId="77777777" w:rsidR="009C3B84" w:rsidRDefault="009C3B84" w:rsidP="000224D1">
      <w:pPr>
        <w:spacing w:after="0" w:line="240" w:lineRule="auto"/>
      </w:pPr>
      <w:r>
        <w:separator/>
      </w:r>
    </w:p>
  </w:endnote>
  <w:endnote w:type="continuationSeparator" w:id="0">
    <w:p w14:paraId="7E6C97AF" w14:textId="77777777" w:rsidR="009C3B84" w:rsidRDefault="009C3B84" w:rsidP="0002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9957" w14:textId="77777777" w:rsidR="00C865A5" w:rsidRDefault="00C865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4B2F" w14:textId="77777777" w:rsidR="00C865A5" w:rsidRDefault="00C865A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0F73" w14:textId="77777777" w:rsidR="00C865A5" w:rsidRDefault="00C865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F306" w14:textId="77777777" w:rsidR="009C3B84" w:rsidRDefault="009C3B84" w:rsidP="000224D1">
      <w:pPr>
        <w:spacing w:after="0" w:line="240" w:lineRule="auto"/>
      </w:pPr>
      <w:r>
        <w:separator/>
      </w:r>
    </w:p>
  </w:footnote>
  <w:footnote w:type="continuationSeparator" w:id="0">
    <w:p w14:paraId="00835591" w14:textId="77777777" w:rsidR="009C3B84" w:rsidRDefault="009C3B84" w:rsidP="00022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2C6E" w14:textId="77777777" w:rsidR="00C865A5" w:rsidRDefault="00C865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09C5" w14:textId="77777777" w:rsidR="000224D1" w:rsidRPr="00D84067" w:rsidRDefault="000224D1" w:rsidP="000224D1">
    <w:pPr>
      <w:pStyle w:val="stBilgi"/>
      <w:jc w:val="center"/>
      <w:rPr>
        <w:b/>
        <w:color w:val="FF0000"/>
      </w:rPr>
    </w:pPr>
    <w:r w:rsidRPr="00D84067">
      <w:rPr>
        <w:b/>
        <w:color w:val="FF0000"/>
      </w:rPr>
      <w:t>SAÜ LİSANSÜSTÜ EĞİTİM ÖĞRETİM YÖNETMELİĞİ VE UYGULAMA ESASLARINA DAİR</w:t>
    </w:r>
  </w:p>
  <w:p w14:paraId="2FD78F94" w14:textId="77777777" w:rsidR="000224D1" w:rsidRPr="00D84067" w:rsidRDefault="00C865A5" w:rsidP="000224D1">
    <w:pPr>
      <w:pStyle w:val="stBilgi"/>
      <w:jc w:val="center"/>
      <w:rPr>
        <w:b/>
        <w:color w:val="FF0000"/>
      </w:rPr>
    </w:pPr>
    <w:r>
      <w:rPr>
        <w:b/>
        <w:color w:val="FF0000"/>
      </w:rPr>
      <w:t xml:space="preserve"> TEZSİZ </w:t>
    </w:r>
    <w:r w:rsidR="00D10065">
      <w:rPr>
        <w:b/>
        <w:color w:val="FF0000"/>
      </w:rPr>
      <w:t>YÜKSEK LİSANS</w:t>
    </w:r>
    <w:r w:rsidR="000224D1" w:rsidRPr="00D84067">
      <w:rPr>
        <w:b/>
        <w:color w:val="FF0000"/>
      </w:rPr>
      <w:t xml:space="preserve"> PROGRAM ÖĞRENCİLERİ BİLGİLENDİRME</w:t>
    </w:r>
  </w:p>
  <w:p w14:paraId="7BABDF67" w14:textId="77777777" w:rsidR="000224D1" w:rsidRDefault="000224D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D0AF" w14:textId="77777777" w:rsidR="00C865A5" w:rsidRDefault="00C865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E22"/>
    <w:multiLevelType w:val="hybridMultilevel"/>
    <w:tmpl w:val="1AD49F88"/>
    <w:lvl w:ilvl="0" w:tplc="F7CCE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B18C8"/>
    <w:multiLevelType w:val="hybridMultilevel"/>
    <w:tmpl w:val="00A647F4"/>
    <w:lvl w:ilvl="0" w:tplc="D3503A18">
      <w:start w:val="9"/>
      <w:numFmt w:val="decimal"/>
      <w:lvlText w:val="(%1)"/>
      <w:lvlJc w:val="left"/>
      <w:pPr>
        <w:ind w:left="116" w:hanging="286"/>
      </w:pPr>
      <w:rPr>
        <w:rFonts w:ascii="Arial Narrow" w:eastAsia="Times New Roman" w:hAnsi="Arial Narrow" w:hint="default"/>
        <w:sz w:val="24"/>
        <w:szCs w:val="24"/>
      </w:rPr>
    </w:lvl>
    <w:lvl w:ilvl="1" w:tplc="3F7CEB28">
      <w:start w:val="1"/>
      <w:numFmt w:val="bullet"/>
      <w:lvlText w:val="•"/>
      <w:lvlJc w:val="left"/>
      <w:pPr>
        <w:ind w:left="1035" w:hanging="286"/>
      </w:pPr>
      <w:rPr>
        <w:rFonts w:hint="default"/>
      </w:rPr>
    </w:lvl>
    <w:lvl w:ilvl="2" w:tplc="F5B4A25A">
      <w:start w:val="1"/>
      <w:numFmt w:val="bullet"/>
      <w:lvlText w:val="•"/>
      <w:lvlJc w:val="left"/>
      <w:pPr>
        <w:ind w:left="1954" w:hanging="286"/>
      </w:pPr>
      <w:rPr>
        <w:rFonts w:hint="default"/>
      </w:rPr>
    </w:lvl>
    <w:lvl w:ilvl="3" w:tplc="E3AE0D40">
      <w:start w:val="1"/>
      <w:numFmt w:val="bullet"/>
      <w:lvlText w:val="•"/>
      <w:lvlJc w:val="left"/>
      <w:pPr>
        <w:ind w:left="2873" w:hanging="286"/>
      </w:pPr>
      <w:rPr>
        <w:rFonts w:hint="default"/>
      </w:rPr>
    </w:lvl>
    <w:lvl w:ilvl="4" w:tplc="B3788EBC">
      <w:start w:val="1"/>
      <w:numFmt w:val="bullet"/>
      <w:lvlText w:val="•"/>
      <w:lvlJc w:val="left"/>
      <w:pPr>
        <w:ind w:left="3792" w:hanging="286"/>
      </w:pPr>
      <w:rPr>
        <w:rFonts w:hint="default"/>
      </w:rPr>
    </w:lvl>
    <w:lvl w:ilvl="5" w:tplc="4948D46A">
      <w:start w:val="1"/>
      <w:numFmt w:val="bullet"/>
      <w:lvlText w:val="•"/>
      <w:lvlJc w:val="left"/>
      <w:pPr>
        <w:ind w:left="4711" w:hanging="286"/>
      </w:pPr>
      <w:rPr>
        <w:rFonts w:hint="default"/>
      </w:rPr>
    </w:lvl>
    <w:lvl w:ilvl="6" w:tplc="8460CFA4">
      <w:start w:val="1"/>
      <w:numFmt w:val="bullet"/>
      <w:lvlText w:val="•"/>
      <w:lvlJc w:val="left"/>
      <w:pPr>
        <w:ind w:left="5630" w:hanging="286"/>
      </w:pPr>
      <w:rPr>
        <w:rFonts w:hint="default"/>
      </w:rPr>
    </w:lvl>
    <w:lvl w:ilvl="7" w:tplc="450C6EE4">
      <w:start w:val="1"/>
      <w:numFmt w:val="bullet"/>
      <w:lvlText w:val="•"/>
      <w:lvlJc w:val="left"/>
      <w:pPr>
        <w:ind w:left="6549" w:hanging="286"/>
      </w:pPr>
      <w:rPr>
        <w:rFonts w:hint="default"/>
      </w:rPr>
    </w:lvl>
    <w:lvl w:ilvl="8" w:tplc="9CD8BAB0">
      <w:start w:val="1"/>
      <w:numFmt w:val="bullet"/>
      <w:lvlText w:val="•"/>
      <w:lvlJc w:val="left"/>
      <w:pPr>
        <w:ind w:left="7468" w:hanging="286"/>
      </w:pPr>
      <w:rPr>
        <w:rFonts w:hint="default"/>
      </w:rPr>
    </w:lvl>
  </w:abstractNum>
  <w:abstractNum w:abstractNumId="2" w15:restartNumberingAfterBreak="0">
    <w:nsid w:val="340B4B06"/>
    <w:multiLevelType w:val="hybridMultilevel"/>
    <w:tmpl w:val="D26ACD6A"/>
    <w:lvl w:ilvl="0" w:tplc="D7BE13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0009E"/>
    <w:multiLevelType w:val="hybridMultilevel"/>
    <w:tmpl w:val="2FC278D8"/>
    <w:lvl w:ilvl="0" w:tplc="D7CE979E">
      <w:start w:val="1"/>
      <w:numFmt w:val="lowerLetter"/>
      <w:lvlText w:val="%1)"/>
      <w:lvlJc w:val="left"/>
      <w:pPr>
        <w:ind w:left="110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5ED31DD6"/>
    <w:multiLevelType w:val="multilevel"/>
    <w:tmpl w:val="8EF6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FD2"/>
    <w:rsid w:val="000224D1"/>
    <w:rsid w:val="0009046F"/>
    <w:rsid w:val="00092149"/>
    <w:rsid w:val="000E2152"/>
    <w:rsid w:val="00133FD2"/>
    <w:rsid w:val="001E02C7"/>
    <w:rsid w:val="001E6E06"/>
    <w:rsid w:val="001E7580"/>
    <w:rsid w:val="001E7BFA"/>
    <w:rsid w:val="001F0BEA"/>
    <w:rsid w:val="002038FC"/>
    <w:rsid w:val="00206112"/>
    <w:rsid w:val="00247F58"/>
    <w:rsid w:val="002901AD"/>
    <w:rsid w:val="002969C6"/>
    <w:rsid w:val="002A0ED2"/>
    <w:rsid w:val="002B4443"/>
    <w:rsid w:val="002F3714"/>
    <w:rsid w:val="002F71CA"/>
    <w:rsid w:val="00342C2E"/>
    <w:rsid w:val="003A2DF7"/>
    <w:rsid w:val="00433FD2"/>
    <w:rsid w:val="00435DD3"/>
    <w:rsid w:val="004E2EEE"/>
    <w:rsid w:val="005971DD"/>
    <w:rsid w:val="005D63A0"/>
    <w:rsid w:val="005E2F09"/>
    <w:rsid w:val="005E6B24"/>
    <w:rsid w:val="005F315A"/>
    <w:rsid w:val="005F7FA7"/>
    <w:rsid w:val="00657913"/>
    <w:rsid w:val="00670ADB"/>
    <w:rsid w:val="0067655C"/>
    <w:rsid w:val="006A34CA"/>
    <w:rsid w:val="006B4935"/>
    <w:rsid w:val="00763CE9"/>
    <w:rsid w:val="007D530D"/>
    <w:rsid w:val="008B1FCD"/>
    <w:rsid w:val="008C05C0"/>
    <w:rsid w:val="008E4A2E"/>
    <w:rsid w:val="00953C1D"/>
    <w:rsid w:val="0098124D"/>
    <w:rsid w:val="0098341A"/>
    <w:rsid w:val="0099733F"/>
    <w:rsid w:val="009C3B84"/>
    <w:rsid w:val="009F30C9"/>
    <w:rsid w:val="00A27D58"/>
    <w:rsid w:val="00A8288E"/>
    <w:rsid w:val="00B83907"/>
    <w:rsid w:val="00BD4A72"/>
    <w:rsid w:val="00C23493"/>
    <w:rsid w:val="00C849B2"/>
    <w:rsid w:val="00C865A5"/>
    <w:rsid w:val="00CB3227"/>
    <w:rsid w:val="00D10065"/>
    <w:rsid w:val="00D52C6D"/>
    <w:rsid w:val="00D84067"/>
    <w:rsid w:val="00D8497C"/>
    <w:rsid w:val="00DA3C95"/>
    <w:rsid w:val="00E8749C"/>
    <w:rsid w:val="00F23694"/>
    <w:rsid w:val="00F45A66"/>
    <w:rsid w:val="00F53327"/>
    <w:rsid w:val="00F71937"/>
    <w:rsid w:val="00F9359E"/>
    <w:rsid w:val="00FB5DCD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7660"/>
  <w15:docId w15:val="{3CCB798C-E8CE-4EDD-A216-45833CD2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904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2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24D1"/>
  </w:style>
  <w:style w:type="paragraph" w:styleId="AltBilgi">
    <w:name w:val="footer"/>
    <w:basedOn w:val="Normal"/>
    <w:link w:val="AltBilgiChar"/>
    <w:uiPriority w:val="99"/>
    <w:unhideWhenUsed/>
    <w:rsid w:val="0002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24D1"/>
  </w:style>
  <w:style w:type="paragraph" w:styleId="BalonMetni">
    <w:name w:val="Balloon Text"/>
    <w:basedOn w:val="Normal"/>
    <w:link w:val="BalonMetniChar"/>
    <w:uiPriority w:val="99"/>
    <w:semiHidden/>
    <w:unhideWhenUsed/>
    <w:rsid w:val="0002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4D1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1E7BFA"/>
    <w:pPr>
      <w:widowControl w:val="0"/>
      <w:spacing w:after="0" w:line="240" w:lineRule="auto"/>
      <w:ind w:left="116" w:firstLine="566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1E7BFA"/>
    <w:rPr>
      <w:rFonts w:ascii="Times New Roman" w:eastAsia="Times New Roman" w:hAnsi="Times New Roman"/>
    </w:rPr>
  </w:style>
  <w:style w:type="character" w:styleId="Kpr">
    <w:name w:val="Hyperlink"/>
    <w:basedOn w:val="VarsaylanParagrafYazTipi"/>
    <w:uiPriority w:val="99"/>
    <w:unhideWhenUsed/>
    <w:rsid w:val="008C05C0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9F3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</cp:revision>
  <cp:lastPrinted>2022-09-21T08:35:00Z</cp:lastPrinted>
  <dcterms:created xsi:type="dcterms:W3CDTF">2023-02-03T14:23:00Z</dcterms:created>
  <dcterms:modified xsi:type="dcterms:W3CDTF">2024-09-30T05:52:00Z</dcterms:modified>
</cp:coreProperties>
</file>